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43BB" w:rsidRPr="00675E11" w:rsidRDefault="003043BB" w:rsidP="003043BB">
      <w:pPr>
        <w:pStyle w:val="Heading1"/>
      </w:pPr>
      <w:r w:rsidRPr="00675E11">
        <w:t xml:space="preserve">SI.2. Tracking the well log motif of the Mulde Event </w:t>
      </w:r>
    </w:p>
    <w:p w:rsidR="003043BB" w:rsidRPr="00675E11" w:rsidRDefault="003043BB" w:rsidP="003043BB">
      <w:pPr>
        <w:spacing w:before="100" w:beforeAutospacing="1" w:after="100" w:afterAutospacing="1" w:line="240" w:lineRule="auto"/>
        <w:rPr>
          <w:rFonts w:asciiTheme="majorBidi" w:hAnsiTheme="majorBidi" w:cstheme="majorBidi"/>
        </w:rPr>
      </w:pPr>
      <w:r w:rsidRPr="00675E11">
        <w:rPr>
          <w:rFonts w:asciiTheme="majorBidi" w:hAnsiTheme="majorBidi" w:cstheme="majorBidi"/>
        </w:rPr>
        <w:t xml:space="preserve">The Grötlingbo-1 contains the Mulde Event at ~250 m depth </w:t>
      </w:r>
      <w:r w:rsidRPr="00675E11">
        <w:rPr>
          <w:rFonts w:asciiTheme="majorBidi" w:hAnsiTheme="majorBidi" w:cstheme="majorBidi"/>
        </w:rPr>
        <w:fldChar w:fldCharType="begin" w:fldLock="1"/>
      </w:r>
      <w:r w:rsidRPr="00675E11">
        <w:rPr>
          <w:rFonts w:asciiTheme="majorBidi" w:hAnsiTheme="majorBidi" w:cstheme="majorBidi"/>
        </w:rPr>
        <w:instrText>ADDIN CSL_CITATION {"citationItems":[{"id":"ITEM-1","itemData":{"DOI":"10.1080/11035890601282079","ISSN":"20000863","abstract":"A shoreline to deep basin correlation chart for the middle Silurian coupled extinction-stable isotopic event is presented. The chart is a first attempt to synthesise new stratigraphic, faunal and stable isotopic data, as well as diversity changes among organic-walled microplankton (acritarchs), from the Grötlingbo-1 and Hunninge-1 cores on Gotland (Sweden), along with previously published data from the Bartoszyce IG 1 core (Poland), the Gräfenwarth section (Germany), and the Ruhnu (500) and Ohesaare cores (Estonia). Accordingly, the relative timing of biotic, sedimentary, and stable isotopic changes associated with the event can be studied in high stratigraphic resolution across a basin area of ~120 000 km2 (in the epicontinental Baltic Basin) and further off the Silurian continental margin into the Rheic Ocean (Gräfenwarth section). A graptolite biozonation is presented for the Late Wenlock of the Grötlingbo-1 core and the middle Silurian carbon isotope excursion (CIE) is for the first time detected in stratigraphically continuous sections on Gotland. It starts close above the LAD of Monograptus flemingii and peaks at d13C values of 2.4% in the Grötlingbo-1 core and at 3.8% in the Hunninge-1 core. The correlation chart forms the basis for several important conclusions for the mid-Silurian event: (a) it is associated with major and synchronous sedimentary changes across the basin independent of palaeodepth, i.e., the entire marine realm, from shoreline to deep basin, was affected; (b) the onset of the CIE is within the latest part of a regressive systems tract and related to carbonate platform exposure and termination; (c) the CIE peak interval correlates with the early transgressive systems tract and the development of laminated strata in the deeper parts of epicontinental seas, as well as with increased accumulation of organic matter in even deeper basins; (d) the major diversity anomalies among planktonic and nektonic taxa precede or occur close to the onset of the CIE. © 2006 OPA (Overseas Publishers Association).","author":[{"dropping-particle":"","family":"Calner","given":"M.","non-dropping-particle":"","parse-names":false,"suffix":""},{"dropping-particle":"","family":"Kozłowska","given":"Anna","non-dropping-particle":"","parse-names":false,"suffix":""},{"dropping-particle":"","family":"Masiak","given":"Monika","non-dropping-particle":"","parse-names":false,"suffix":""},{"dropping-particle":"","family":"Schmitz","given":"Birger","non-dropping-particle":"","parse-names":false,"suffix":""}],"container-title":"Gff","id":"ITEM-1","issue":"2","issued":{"date-parts":[["2006"]]},"page":"79-84","title":"A shoreline to deep basin correlation chart for the middle Silurian coupled extinction-stable isotopic event","type":"article-journal","volume":"128"},"uris":["http://www.mendeley.com/documents/?uuid=4ecd2c50-f105-4025-86e4-c6e869bea386"]}],"mendeley":{"formattedCitation":"(Calner et al., 2006)","plainTextFormattedCitation":"(Calner et al., 2006)","previouslyFormattedCitation":"(Calner et al., 2006)"},"properties":{"noteIndex":0},"schema":"https://github.com/citation-style-language/schema/raw/master/csl-citation.json"}</w:instrText>
      </w:r>
      <w:r w:rsidRPr="00675E11">
        <w:rPr>
          <w:rFonts w:asciiTheme="majorBidi" w:hAnsiTheme="majorBidi" w:cstheme="majorBidi"/>
        </w:rPr>
        <w:fldChar w:fldCharType="separate"/>
      </w:r>
      <w:r w:rsidRPr="00675E11">
        <w:rPr>
          <w:rFonts w:asciiTheme="majorBidi" w:hAnsiTheme="majorBidi" w:cstheme="majorBidi"/>
          <w:noProof/>
        </w:rPr>
        <w:t>(Calner et al., 2006)</w:t>
      </w:r>
      <w:r w:rsidRPr="00675E11">
        <w:rPr>
          <w:rFonts w:asciiTheme="majorBidi" w:hAnsiTheme="majorBidi" w:cstheme="majorBidi"/>
        </w:rPr>
        <w:fldChar w:fldCharType="end"/>
      </w:r>
      <w:r w:rsidRPr="00675E11">
        <w:rPr>
          <w:rFonts w:asciiTheme="majorBidi" w:hAnsiTheme="majorBidi" w:cstheme="majorBidi"/>
        </w:rPr>
        <w:t>. The density log of the Grötlingbo-1 wells shows a large anomaly between 255 and 247 m. This anomaly can also be observed in the resistivity log of the Grötlingbo-2 as well (located ~40 m southwest of the Grötlingbo-1 log). The same anomaly in the well-logs can be tr</w:t>
      </w:r>
      <w:bookmarkStart w:id="0" w:name="_GoBack"/>
      <w:bookmarkEnd w:id="0"/>
      <w:r w:rsidRPr="00675E11">
        <w:rPr>
          <w:rFonts w:asciiTheme="majorBidi" w:hAnsiTheme="majorBidi" w:cstheme="majorBidi"/>
        </w:rPr>
        <w:t>acked and observed in the nearby Kauparve-1 well, which has both resistivity and gamma-ray data available. This allows us to correlate the Mulde Event with the gamma-ray log. These identified boundaries are in agreement with other records in the basin, where both the δ</w:t>
      </w:r>
      <w:r w:rsidRPr="00675E11">
        <w:rPr>
          <w:rFonts w:asciiTheme="majorBidi" w:hAnsiTheme="majorBidi" w:cstheme="majorBidi"/>
          <w:vertAlign w:val="superscript"/>
        </w:rPr>
        <w:t>13</w:t>
      </w:r>
      <w:r w:rsidRPr="00675E11">
        <w:rPr>
          <w:rFonts w:asciiTheme="majorBidi" w:hAnsiTheme="majorBidi" w:cstheme="majorBidi"/>
        </w:rPr>
        <w:t>C</w:t>
      </w:r>
      <w:r w:rsidRPr="00675E11">
        <w:rPr>
          <w:rFonts w:asciiTheme="majorBidi" w:hAnsiTheme="majorBidi" w:cstheme="majorBidi"/>
          <w:vertAlign w:val="subscript"/>
        </w:rPr>
        <w:t>carb</w:t>
      </w:r>
      <w:r w:rsidRPr="00675E11">
        <w:rPr>
          <w:rFonts w:asciiTheme="majorBidi" w:hAnsiTheme="majorBidi" w:cstheme="majorBidi"/>
        </w:rPr>
        <w:t xml:space="preserve"> excursion of the Mulde Event and a gamma-ray curve are available </w:t>
      </w:r>
      <w:r w:rsidRPr="00675E11">
        <w:rPr>
          <w:rFonts w:asciiTheme="majorBidi" w:hAnsiTheme="majorBidi" w:cstheme="majorBidi"/>
        </w:rPr>
        <w:fldChar w:fldCharType="begin" w:fldLock="1"/>
      </w:r>
      <w:r w:rsidRPr="00675E11">
        <w:rPr>
          <w:rFonts w:asciiTheme="majorBidi" w:hAnsiTheme="majorBidi" w:cstheme="majorBidi"/>
        </w:rPr>
        <w:instrText>ADDIN CSL_CITATION {"citationItems":[{"id":"ITEM-1","itemData":{"DOI":"10.1515/agp-2017-0011","ISSN":"00015709","abstract":"The Gėluva regional stage stratigraphically corresponds to the late Wenlock. This time interval witnessed significant graptolite extinctions and turnovers of conodont faunas, as well as a large positive Mulde carbon isotopic excursion. Thus, the development of a detailed stratigraphy is a necessary step in understanding the complex patterns of regional and global variations in the sediments accumulating during the time interval studied. Therefore, in this contribution we present a cyclostratigraphic analysis of gamma ray (GR) logs from four wells, which are located in the deep water facies belt of the Lithuanian part of the Silurian Baltic Basin of the Gėluva regional stage. The analysis was performed using REDFIT spectral estimation, continuous wavelet transform and signal filtering techniques. As a result two 4th order and five 5th order cycles were distinguished and named in all sections. The correlation of cycles between sections was calibrated with the graptolite biozones. The comparative analysis revealed that intra-basinal cyclostratigraphic correlation could achieve resolution of the order of several tens of thousands of years.","author":[{"dropping-particle":"","family":"Radzevičius","given":"Sigitas","non-dropping-particle":"","parse-names":false,"suffix":""},{"dropping-particle":"","family":"Tumakovaitė","given":"Brigita","non-dropping-particle":"","parse-names":false,"suffix":""},{"dropping-particle":"","family":"Spiridonov","given":"Andrej","non-dropping-particle":"","parse-names":false,"suffix":""}],"container-title":"Acta Geologica Polonica","id":"ITEM-1","issue":"2","issued":{"date-parts":[["2017"]]},"page":"307-322","title":"Upper Homerian (Silurian) high-resolution correlation using cyclostratigraphy: An example from western Lithuania","type":"article-journal","volume":"67"},"uris":["http://www.mendeley.com/documents/?uuid=b6cb621a-0f62-4b67-8db0-9e60010789f7"]},{"id":"ITEM-2","itemData":{"DOI":"10.3176/earth.2014.33","ISSN":"17367557","abstract":"Based on the integrated chemostratigraphic and lithostratigraphic studies, as well as biostratigraphic and palaeoecological analyses of conodonts in the Ledai-179 core, we present a combined model of change in the upper Wenlock and lowermost Ludlow strata of the inner shelf settings in the eastern part of the Baltic Basin. The comparison of the δ13C trend, and conodont and lithological successions confirms previous suggestions that the Bir tonas and Nevė is formations correspond to the Homerian. This is quite unexpected, however, that the chronostratigraphic position of the Širvinta Formation changed from the Gorstian to the upper part of the Homerian. The numerical biostratigraphic changepoint analyses of local conodont richness, per capita immigration and also per capita extirpation rates revealed several episodes of permanent change. These episodes of dynamic states either preceded or postdated the Mulde extinction interval at the beginning of the late Homerian δ13C excursion, which points to possible transient effects of this extinction event on conodonts.","author":[{"dropping-particle":"","family":"Radzevičius","given":"Sigitas","non-dropping-particle":"","parse-names":false,"suffix":""},{"dropping-particle":"","family":"Spiridonov","given":"Andrej","non-dropping-particle":"","parse-names":false,"suffix":""},{"dropping-particle":"","family":"Brazauskas","given":"Antanas","non-dropping-particle":"","parse-names":false,"suffix":""},{"dropping-particle":"","family":"Norkus","given":"Audrius","non-dropping-particle":"","parse-names":false,"suffix":""},{"dropping-particle":"","family":"Meidla","given":"Tõnu","non-dropping-particle":"","parse-names":false,"suffix":""},{"dropping-particle":"","family":"Ainsaar","given":"Leho","non-dropping-particle":"","parse-names":false,"suffix":""}],"container-title":"Estonian Journal of Earth Sciences","id":"ITEM-2","issue":"4","issued":{"date-parts":[["2014"]]},"page":"293-299","title":"Upper Wenlock δ13C chemostratigraphy, conodont biostratigraphy and palaeoecological dynamics in the Ledai-179 drill core (Eastern Lithuania)","type":"article-journal","volume":"63"},"uris":["http://www.mendeley.com/documents/?uuid=f5bf7188-1fc0-4207-8425-acbe02953c75"]},{"id":"ITEM-3","itemData":{"DOI":"10.1080/11035897.2013.866976","ISSN":"20000863","abstract":"Integrated lithostratigraphical, cyclostratigraphical, graptolite and conodont biostratigraphical and chemostratigraphical (δ13C) data are presented from the upper Jaagarahu, Gėluva and Dubysa regional stages, including the lundgreni Event (middle Homerian) in the Viduklė-61 well, Lithuania. The Viduklė-61 well is located in the west of Lithuania in the deep-water facies zone. Because of its completeness, this section is the \"keystone\" for middle-upper Homerian stratigraphy that allows us to combine different kinds of data into a coherent picture of large-scale biotic and environmental turnover. Three formations are distinguished: the upper part of the Riga Formation, with the Ančia Member in the uppermost part, the Siesartis Formation and the lower part of Dubysa Formation. The Grötlingbo bentonite is in the upper part of Ančia Member. In the Gėluva regional stage, two 4th-order and six 5th-order cycles have been distinguished. In the studied interval of the Viduklė-61 core, the following graptolite biozones were recognized: lundgreni (upper part), parvus, nassa, praedeubeli, deubeli, ludensis and nilssoni (lower part). Conodonts enabled recognition of the bohemica longa Biozone. A single find of Ctenognathodus murchisoni Pander in the nassa graptolite interzone indicates an earlier than previously thought origin of this species. © 2014 © 2014 Taylor &amp; Francis.","author":[{"dropping-particle":"","family":"Radzevičius","given":"Sigitas","non-dropping-particle":"","parse-names":false,"suffix":""},{"dropping-particle":"","family":"Spiridonov","given":"Andrej","non-dropping-particle":"","parse-names":false,"suffix":""},{"dropping-particle":"","family":"Brazauskas","given":"Antanas","non-dropping-particle":"","parse-names":false,"suffix":""}],"container-title":"Gff","id":"ITEM-3","issue":"1","issued":{"date-parts":[["2014"]]},"page":"218-222","publisher":"Taylor &amp; Francis","title":"Integrated middle-upper Homerian (Silurian) stratigraphy of the Viduklė-61 well, Lithuania","type":"article-journal","volume":"136"},"uris":["http://www.mendeley.com/documents/?uuid=5c15bf3e-0f74-41e7-a9a1-7e8ac18b0269"]}],"mendeley":{"formattedCitation":"(Radzevičius et al., 2014b, 2014a, 2017)","plainTextFormattedCitation":"(Radzevičius et al., 2014b, 2014a, 2017)","previouslyFormattedCitation":"(Radzevičius et al., 2014b, 2014a, 2017)"},"properties":{"noteIndex":0},"schema":"https://github.com/citation-style-language/schema/raw/master/csl-citation.json"}</w:instrText>
      </w:r>
      <w:r w:rsidRPr="00675E11">
        <w:rPr>
          <w:rFonts w:asciiTheme="majorBidi" w:hAnsiTheme="majorBidi" w:cstheme="majorBidi"/>
        </w:rPr>
        <w:fldChar w:fldCharType="separate"/>
      </w:r>
      <w:r w:rsidRPr="00675E11">
        <w:rPr>
          <w:rFonts w:asciiTheme="majorBidi" w:hAnsiTheme="majorBidi" w:cstheme="majorBidi"/>
          <w:noProof/>
        </w:rPr>
        <w:t>(Radzevičius et al., 2014b, 2014a, 2017)</w:t>
      </w:r>
      <w:r w:rsidRPr="00675E11">
        <w:rPr>
          <w:rFonts w:asciiTheme="majorBidi" w:hAnsiTheme="majorBidi" w:cstheme="majorBidi"/>
        </w:rPr>
        <w:fldChar w:fldCharType="end"/>
      </w:r>
      <w:r w:rsidRPr="00675E11">
        <w:rPr>
          <w:rFonts w:asciiTheme="majorBidi" w:hAnsiTheme="majorBidi" w:cstheme="majorBidi"/>
        </w:rPr>
        <w:t>.</w:t>
      </w:r>
    </w:p>
    <w:p w:rsidR="003043BB" w:rsidRPr="00675E11" w:rsidRDefault="003043BB" w:rsidP="003043BB">
      <w:pPr>
        <w:spacing w:before="100" w:beforeAutospacing="1" w:after="100" w:afterAutospacing="1" w:line="240" w:lineRule="auto"/>
        <w:rPr>
          <w:rFonts w:asciiTheme="majorBidi" w:eastAsia="Times New Roman" w:hAnsiTheme="majorBidi" w:cstheme="majorBidi"/>
          <w:sz w:val="24"/>
          <w:szCs w:val="24"/>
          <w:lang w:eastAsia="en-GB"/>
        </w:rPr>
      </w:pPr>
      <w:r w:rsidRPr="00675E11">
        <w:rPr>
          <w:rFonts w:asciiTheme="majorBidi" w:hAnsiTheme="majorBidi" w:cstheme="majorBidi"/>
          <w:noProof/>
        </w:rPr>
        <w:drawing>
          <wp:inline distT="0" distB="0" distL="0" distR="0" wp14:anchorId="13296976" wp14:editId="36BF7E47">
            <wp:extent cx="5731510" cy="5018783"/>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5018783"/>
                    </a:xfrm>
                    <a:prstGeom prst="rect">
                      <a:avLst/>
                    </a:prstGeom>
                    <a:noFill/>
                  </pic:spPr>
                </pic:pic>
              </a:graphicData>
            </a:graphic>
          </wp:inline>
        </w:drawing>
      </w:r>
    </w:p>
    <w:p w:rsidR="003043BB" w:rsidRDefault="003043BB" w:rsidP="003043BB">
      <w:pPr>
        <w:spacing w:before="100" w:beforeAutospacing="1" w:after="100" w:afterAutospacing="1" w:line="240" w:lineRule="auto"/>
        <w:rPr>
          <w:rFonts w:asciiTheme="majorBidi" w:eastAsia="Times New Roman" w:hAnsiTheme="majorBidi" w:cstheme="majorBidi"/>
          <w:lang w:eastAsia="en-GB"/>
        </w:rPr>
      </w:pPr>
      <w:r w:rsidRPr="00675E11">
        <w:rPr>
          <w:rFonts w:asciiTheme="majorBidi" w:eastAsia="Times New Roman" w:hAnsiTheme="majorBidi" w:cstheme="majorBidi"/>
          <w:b/>
          <w:bCs/>
          <w:lang w:eastAsia="en-GB"/>
        </w:rPr>
        <w:t>SI.</w:t>
      </w:r>
      <w:r>
        <w:rPr>
          <w:rFonts w:asciiTheme="majorBidi" w:eastAsia="Times New Roman" w:hAnsiTheme="majorBidi" w:cstheme="majorBidi"/>
          <w:b/>
          <w:bCs/>
          <w:lang w:eastAsia="en-GB"/>
        </w:rPr>
        <w:t>2.</w:t>
      </w:r>
      <w:r w:rsidRPr="00675E11">
        <w:rPr>
          <w:rFonts w:asciiTheme="majorBidi" w:eastAsia="Times New Roman" w:hAnsiTheme="majorBidi" w:cstheme="majorBidi"/>
          <w:b/>
          <w:bCs/>
          <w:lang w:eastAsia="en-GB"/>
        </w:rPr>
        <w:t xml:space="preserve"> Figure 1</w:t>
      </w:r>
      <w:r w:rsidRPr="00675E11">
        <w:rPr>
          <w:rFonts w:asciiTheme="majorBidi" w:eastAsia="Times New Roman" w:hAnsiTheme="majorBidi" w:cstheme="majorBidi"/>
          <w:lang w:eastAsia="en-GB"/>
        </w:rPr>
        <w:t xml:space="preserve">. Well-logs of the Kauparve-1, Grötlingbo-2, and Grötlingbo-1 wells. The red horizontal dotted lines mark the start and end of the Mulde Event. The black line in the Grötlingbo-2 well is the digitised resistivity well log (plotted on an inverted log scale), as performed as part of this study. The red line in the Grötlingbo-2 well is a digitised well log as performed at SGU (plotted on an inverted log scale). The green line in the Grötlingbo-1 well </w:t>
      </w:r>
      <w:r>
        <w:rPr>
          <w:rFonts w:asciiTheme="majorBidi" w:eastAsia="Times New Roman" w:hAnsiTheme="majorBidi" w:cstheme="majorBidi"/>
          <w:lang w:eastAsia="en-GB"/>
        </w:rPr>
        <w:t>represents the smoothed density curve, calculated using a 2-meter window</w:t>
      </w:r>
      <w:r w:rsidRPr="00675E11">
        <w:rPr>
          <w:rFonts w:asciiTheme="majorBidi" w:eastAsia="Times New Roman" w:hAnsiTheme="majorBidi" w:cstheme="majorBidi"/>
          <w:lang w:eastAsia="en-GB"/>
        </w:rPr>
        <w:t xml:space="preserve">. </w:t>
      </w:r>
    </w:p>
    <w:p w:rsidR="005661D3" w:rsidRDefault="005661D3" w:rsidP="005661D3">
      <w:pPr>
        <w:pStyle w:val="Heading2"/>
        <w:rPr>
          <w:rFonts w:eastAsia="Times New Roman"/>
          <w:lang w:eastAsia="en-GB"/>
        </w:rPr>
      </w:pPr>
      <w:r>
        <w:rPr>
          <w:rFonts w:eastAsia="Times New Roman"/>
          <w:lang w:eastAsia="en-GB"/>
        </w:rPr>
        <w:t>References</w:t>
      </w:r>
    </w:p>
    <w:p w:rsidR="005661D3" w:rsidRPr="005661D3" w:rsidRDefault="005661D3" w:rsidP="005661D3">
      <w:pPr>
        <w:widowControl w:val="0"/>
        <w:autoSpaceDE w:val="0"/>
        <w:autoSpaceDN w:val="0"/>
        <w:adjustRightInd w:val="0"/>
        <w:spacing w:before="100" w:after="100" w:line="240" w:lineRule="auto"/>
        <w:ind w:left="480" w:hanging="480"/>
        <w:rPr>
          <w:rFonts w:ascii="Times New Roman" w:hAnsi="Times New Roman" w:cs="Times New Roman"/>
          <w:noProof/>
          <w:szCs w:val="24"/>
        </w:rPr>
      </w:pPr>
      <w:r>
        <w:rPr>
          <w:rFonts w:asciiTheme="majorBidi" w:eastAsia="Times New Roman" w:hAnsiTheme="majorBidi" w:cstheme="majorBidi"/>
          <w:lang w:eastAsia="en-GB"/>
        </w:rPr>
        <w:fldChar w:fldCharType="begin" w:fldLock="1"/>
      </w:r>
      <w:r>
        <w:rPr>
          <w:rFonts w:asciiTheme="majorBidi" w:eastAsia="Times New Roman" w:hAnsiTheme="majorBidi" w:cstheme="majorBidi"/>
          <w:lang w:eastAsia="en-GB"/>
        </w:rPr>
        <w:instrText xml:space="preserve">ADDIN Mendeley Bibliography CSL_BIBLIOGRAPHY </w:instrText>
      </w:r>
      <w:r>
        <w:rPr>
          <w:rFonts w:asciiTheme="majorBidi" w:eastAsia="Times New Roman" w:hAnsiTheme="majorBidi" w:cstheme="majorBidi"/>
          <w:lang w:eastAsia="en-GB"/>
        </w:rPr>
        <w:fldChar w:fldCharType="separate"/>
      </w:r>
      <w:r w:rsidRPr="005661D3">
        <w:rPr>
          <w:rFonts w:ascii="Times New Roman" w:hAnsi="Times New Roman" w:cs="Times New Roman"/>
          <w:noProof/>
          <w:szCs w:val="24"/>
        </w:rPr>
        <w:t xml:space="preserve">Calner, M., Kozłowska, A., Masiak, M., and Schmitz, B., 2006, A shoreline to deep basin correlation </w:t>
      </w:r>
      <w:r w:rsidRPr="005661D3">
        <w:rPr>
          <w:rFonts w:ascii="Times New Roman" w:hAnsi="Times New Roman" w:cs="Times New Roman"/>
          <w:noProof/>
          <w:szCs w:val="24"/>
        </w:rPr>
        <w:lastRenderedPageBreak/>
        <w:t>chart for the middle Silurian coupled extinction-stable isotopic event: Gff, v. 128, p. 79–84, doi:10.1080/11035890601282079.</w:t>
      </w:r>
    </w:p>
    <w:p w:rsidR="005661D3" w:rsidRPr="005661D3" w:rsidRDefault="005661D3" w:rsidP="005661D3">
      <w:pPr>
        <w:widowControl w:val="0"/>
        <w:autoSpaceDE w:val="0"/>
        <w:autoSpaceDN w:val="0"/>
        <w:adjustRightInd w:val="0"/>
        <w:spacing w:before="100" w:after="100" w:line="240" w:lineRule="auto"/>
        <w:ind w:left="480" w:hanging="480"/>
        <w:rPr>
          <w:rFonts w:ascii="Times New Roman" w:hAnsi="Times New Roman" w:cs="Times New Roman"/>
          <w:noProof/>
          <w:szCs w:val="24"/>
        </w:rPr>
      </w:pPr>
      <w:r w:rsidRPr="005661D3">
        <w:rPr>
          <w:rFonts w:ascii="Times New Roman" w:hAnsi="Times New Roman" w:cs="Times New Roman"/>
          <w:noProof/>
          <w:szCs w:val="24"/>
        </w:rPr>
        <w:t>Radzevičius, S., Spiridonov, A., and Brazauskas, A., 2014a, Integrated middle-upper Homerian (Silurian) stratigraphy of the Viduklė-61 well, Lithuania: Gff, v. 136, p. 218–222, doi:10.1080/11035897.2013.866976.</w:t>
      </w:r>
    </w:p>
    <w:p w:rsidR="005661D3" w:rsidRPr="005661D3" w:rsidRDefault="005661D3" w:rsidP="005661D3">
      <w:pPr>
        <w:widowControl w:val="0"/>
        <w:autoSpaceDE w:val="0"/>
        <w:autoSpaceDN w:val="0"/>
        <w:adjustRightInd w:val="0"/>
        <w:spacing w:before="100" w:after="100" w:line="240" w:lineRule="auto"/>
        <w:ind w:left="480" w:hanging="480"/>
        <w:rPr>
          <w:rFonts w:ascii="Times New Roman" w:hAnsi="Times New Roman" w:cs="Times New Roman"/>
          <w:noProof/>
          <w:szCs w:val="24"/>
        </w:rPr>
      </w:pPr>
      <w:r w:rsidRPr="005661D3">
        <w:rPr>
          <w:rFonts w:ascii="Times New Roman" w:hAnsi="Times New Roman" w:cs="Times New Roman"/>
          <w:noProof/>
          <w:szCs w:val="24"/>
        </w:rPr>
        <w:t>Radzevičius, S., Spiridonov, A., Brazauskas, A., Norkus, A., Meidla, T., and Ainsaar, L., 2014b, Upper Wenlock δ13C chemostratigraphy, conodont biostratigraphy and palaeoecological dynamics in the Ledai-179 drill core (Eastern Lithuania): Estonian Journal of Earth Sciences, v. 63, p. 293–299, doi:10.3176/earth.2014.33.</w:t>
      </w:r>
    </w:p>
    <w:p w:rsidR="005661D3" w:rsidRPr="005661D3" w:rsidRDefault="005661D3" w:rsidP="005661D3">
      <w:pPr>
        <w:widowControl w:val="0"/>
        <w:autoSpaceDE w:val="0"/>
        <w:autoSpaceDN w:val="0"/>
        <w:adjustRightInd w:val="0"/>
        <w:spacing w:before="100" w:after="100" w:line="240" w:lineRule="auto"/>
        <w:ind w:left="480" w:hanging="480"/>
        <w:rPr>
          <w:rFonts w:ascii="Times New Roman" w:hAnsi="Times New Roman" w:cs="Times New Roman"/>
          <w:noProof/>
        </w:rPr>
      </w:pPr>
      <w:r w:rsidRPr="005661D3">
        <w:rPr>
          <w:rFonts w:ascii="Times New Roman" w:hAnsi="Times New Roman" w:cs="Times New Roman"/>
          <w:noProof/>
          <w:szCs w:val="24"/>
        </w:rPr>
        <w:t>Radzevičius, S., Tumakovaitė, B., and Spiridonov, A., 2017, Upper Homerian (Silurian) high-resolution correlation using cyclostratigraphy: An example from western Lithuania: Acta Geologica Polonica, v. 67, p. 307–322, doi:10.1515/agp-2017-0011.</w:t>
      </w:r>
    </w:p>
    <w:p w:rsidR="005661D3" w:rsidRPr="00675E11" w:rsidRDefault="005661D3" w:rsidP="003043BB">
      <w:pPr>
        <w:spacing w:before="100" w:beforeAutospacing="1" w:after="100" w:afterAutospacing="1" w:line="240" w:lineRule="auto"/>
        <w:rPr>
          <w:rFonts w:asciiTheme="majorBidi" w:eastAsia="Times New Roman" w:hAnsiTheme="majorBidi" w:cstheme="majorBidi"/>
          <w:lang w:eastAsia="en-GB"/>
        </w:rPr>
      </w:pPr>
      <w:r>
        <w:rPr>
          <w:rFonts w:asciiTheme="majorBidi" w:eastAsia="Times New Roman" w:hAnsiTheme="majorBidi" w:cstheme="majorBidi"/>
          <w:lang w:eastAsia="en-GB"/>
        </w:rPr>
        <w:fldChar w:fldCharType="end"/>
      </w:r>
    </w:p>
    <w:p w:rsidR="0076548B" w:rsidRPr="003043BB" w:rsidRDefault="0076548B" w:rsidP="003043BB"/>
    <w:sectPr w:rsidR="0076548B" w:rsidRPr="003043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89F"/>
    <w:rsid w:val="003043BB"/>
    <w:rsid w:val="00307DC5"/>
    <w:rsid w:val="0045189F"/>
    <w:rsid w:val="005661D3"/>
    <w:rsid w:val="0076548B"/>
    <w:rsid w:val="00E40AF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0DF74"/>
  <w15:chartTrackingRefBased/>
  <w15:docId w15:val="{A00FCFEA-582D-4A9E-86C2-5153D9D4A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5189F"/>
  </w:style>
  <w:style w:type="paragraph" w:styleId="Heading1">
    <w:name w:val="heading 1"/>
    <w:basedOn w:val="Normal"/>
    <w:next w:val="Normal"/>
    <w:link w:val="Heading1Char"/>
    <w:autoRedefine/>
    <w:uiPriority w:val="9"/>
    <w:qFormat/>
    <w:rsid w:val="00307DC5"/>
    <w:pPr>
      <w:keepNext/>
      <w:keepLines/>
      <w:spacing w:before="240" w:after="0"/>
      <w:outlineLvl w:val="0"/>
    </w:pPr>
    <w:rPr>
      <w:rFonts w:ascii="Times New Roman" w:eastAsiaTheme="majorEastAsia" w:hAnsi="Times New Roman"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307DC5"/>
    <w:pPr>
      <w:keepNext/>
      <w:keepLines/>
      <w:spacing w:before="40" w:after="0"/>
      <w:outlineLvl w:val="1"/>
    </w:pPr>
    <w:rPr>
      <w:rFonts w:ascii="Times New Roman" w:eastAsiaTheme="majorEastAsia" w:hAnsi="Times New Roman" w:cstheme="majorBidi"/>
      <w:color w:val="2F5496" w:themeColor="accent1" w:themeShade="BF"/>
      <w:sz w:val="26"/>
      <w:szCs w:val="26"/>
    </w:rPr>
  </w:style>
  <w:style w:type="paragraph" w:styleId="Heading3">
    <w:name w:val="heading 3"/>
    <w:basedOn w:val="Normal"/>
    <w:next w:val="Normal"/>
    <w:link w:val="Heading3Char"/>
    <w:autoRedefine/>
    <w:uiPriority w:val="9"/>
    <w:unhideWhenUsed/>
    <w:qFormat/>
    <w:rsid w:val="00307DC5"/>
    <w:pPr>
      <w:keepNext/>
      <w:keepLines/>
      <w:spacing w:before="40" w:after="0"/>
      <w:outlineLvl w:val="2"/>
    </w:pPr>
    <w:rPr>
      <w:rFonts w:ascii="Times New Roman" w:eastAsiaTheme="majorEastAsia" w:hAnsi="Times New Roman"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7DC5"/>
    <w:rPr>
      <w:rFonts w:ascii="Times New Roman" w:eastAsiaTheme="majorEastAsia" w:hAnsi="Times New Roman" w:cstheme="majorBidi"/>
      <w:color w:val="2F5496" w:themeColor="accent1" w:themeShade="BF"/>
      <w:sz w:val="26"/>
      <w:szCs w:val="26"/>
    </w:rPr>
  </w:style>
  <w:style w:type="character" w:customStyle="1" w:styleId="Heading1Char">
    <w:name w:val="Heading 1 Char"/>
    <w:basedOn w:val="DefaultParagraphFont"/>
    <w:link w:val="Heading1"/>
    <w:uiPriority w:val="9"/>
    <w:rsid w:val="00307DC5"/>
    <w:rPr>
      <w:rFonts w:ascii="Times New Roman" w:eastAsiaTheme="majorEastAsia" w:hAnsi="Times New Roman" w:cstheme="majorBidi"/>
      <w:color w:val="2F5496" w:themeColor="accent1" w:themeShade="BF"/>
      <w:sz w:val="32"/>
      <w:szCs w:val="32"/>
    </w:rPr>
  </w:style>
  <w:style w:type="paragraph" w:styleId="NoSpacing">
    <w:name w:val="No Spacing"/>
    <w:autoRedefine/>
    <w:uiPriority w:val="1"/>
    <w:qFormat/>
    <w:rsid w:val="00307DC5"/>
    <w:pPr>
      <w:spacing w:after="0" w:line="240" w:lineRule="auto"/>
    </w:pPr>
    <w:rPr>
      <w:rFonts w:ascii="Times New Roman" w:hAnsi="Times New Roman"/>
    </w:rPr>
  </w:style>
  <w:style w:type="character" w:customStyle="1" w:styleId="Heading3Char">
    <w:name w:val="Heading 3 Char"/>
    <w:basedOn w:val="DefaultParagraphFont"/>
    <w:link w:val="Heading3"/>
    <w:uiPriority w:val="9"/>
    <w:rsid w:val="00307DC5"/>
    <w:rPr>
      <w:rFonts w:ascii="Times New Roman" w:eastAsiaTheme="majorEastAsia" w:hAnsi="Times New Roman" w:cstheme="majorBidi"/>
      <w:color w:val="1F3763" w:themeColor="accent1" w:themeShade="7F"/>
      <w:sz w:val="24"/>
      <w:szCs w:val="24"/>
    </w:rPr>
  </w:style>
  <w:style w:type="table" w:styleId="TableGrid">
    <w:name w:val="Table Grid"/>
    <w:basedOn w:val="TableNormal"/>
    <w:uiPriority w:val="39"/>
    <w:rsid w:val="004518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6FE03-D36B-4E59-A494-FC4A53E9F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2117</Words>
  <Characters>10505</Characters>
  <Application>Microsoft Office Word</Application>
  <DocSecurity>0</DocSecurity>
  <Lines>154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2025-07-10T14:00:00Z</dcterms:created>
  <dcterms:modified xsi:type="dcterms:W3CDTF">2025-07-10T14:01:00Z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9b93ed85-51f7-4431-a3ff-09f9817b3e9e</vt:lpwstr>
  </property>
  <property fmtid="{D5CDD505-2E9C-101B-9397-08002B2CF9AE}" pid="3" name="Mendeley Recent Style Id 0_1">
    <vt:lpwstr>http://www.zotero.org/styles/american-geophysical-union</vt:lpwstr>
  </property>
  <property fmtid="{D5CDD505-2E9C-101B-9397-08002B2CF9AE}" pid="4" name="Mendeley Recent Style Name 0_1">
    <vt:lpwstr>American Geophysical Union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http://www.zotero.org/styles/geology</vt:lpwstr>
  </property>
  <property fmtid="{D5CDD505-2E9C-101B-9397-08002B2CF9AE}" pid="16" name="Mendeley Recent Style Name 6_1">
    <vt:lpwstr>Geology</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http://www.zotero.org/styles/sedimentary-geology</vt:lpwstr>
  </property>
  <property fmtid="{D5CDD505-2E9C-101B-9397-08002B2CF9AE}" pid="22" name="Mendeley Recent Style Name 9_1">
    <vt:lpwstr>Sedimentary Geology</vt:lpwstr>
  </property>
  <property fmtid="{D5CDD505-2E9C-101B-9397-08002B2CF9AE}" pid="23" name="Mendeley Document_1">
    <vt:lpwstr>True</vt:lpwstr>
  </property>
  <property fmtid="{D5CDD505-2E9C-101B-9397-08002B2CF9AE}" pid="24" name="Mendeley Unique User Id_1">
    <vt:lpwstr>e1250c5f-1b1e-304c-8fb8-c5757e7c69b0</vt:lpwstr>
  </property>
  <property fmtid="{D5CDD505-2E9C-101B-9397-08002B2CF9AE}" pid="25" name="Mendeley Citation Style_1">
    <vt:lpwstr>http://www.zotero.org/styles/geology</vt:lpwstr>
  </property>
</Properties>
</file>